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1" w:type="dxa"/>
        <w:jc w:val="center"/>
        <w:tblInd w:w="1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4"/>
        <w:gridCol w:w="1410"/>
        <w:gridCol w:w="1216"/>
        <w:gridCol w:w="1275"/>
        <w:gridCol w:w="1245"/>
        <w:gridCol w:w="2250"/>
        <w:gridCol w:w="581"/>
        <w:gridCol w:w="750"/>
      </w:tblGrid>
      <w:tr w:rsidR="00D12295">
        <w:trPr>
          <w:trHeight w:val="450"/>
          <w:jc w:val="center"/>
        </w:trPr>
        <w:tc>
          <w:tcPr>
            <w:tcW w:w="96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6"/>
                <w:szCs w:val="36"/>
                <w:lang/>
              </w:rPr>
              <w:t>技术参数需求表</w:t>
            </w:r>
          </w:p>
        </w:tc>
      </w:tr>
      <w:tr w:rsidR="00D12295">
        <w:trPr>
          <w:trHeight w:val="799"/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设备名称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卫星网远程医学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总数量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（台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套）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预算总金额（万元）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44.94</w:t>
            </w:r>
          </w:p>
        </w:tc>
      </w:tr>
      <w:tr w:rsidR="00D12295">
        <w:trPr>
          <w:trHeight w:val="799"/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序号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技术和性能参数名称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招标参数和性能要求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8503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实现入网远程医学信息网，并能与</w:t>
            </w:r>
            <w:r w:rsidR="00010F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远程医学信息网内所有接入点进行互联互通，进行远程会诊、远程医学数据交换、高清视频会议等系统功能。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资质认证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符合《中华人民共和国政府采购法》第二十二条资格条件：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）具有独立承担民事责任的能力；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）具有良好的商业信誉和健全的财务会计制度；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）具有履行合同所必需的专业技术能力；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）有依法缴纳税收和社会保障资金的良好记录；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）参加采购活动前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年内，在经营活动中没有重大违法记录；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）法律、行政法规规定的其他条件。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硬件设备技术和性能参数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卫星通信天线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室外功率放大单元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低噪声放大器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软波导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射频电缆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供电电缆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7.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控制电缆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8.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分路器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9.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合路器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10.SCPC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11.TDMA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数据通道交换机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视频通道交换机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高清视频会议终端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高清摄像机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界面麦克风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17.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电话会议终端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18.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液晶监视器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19.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串口服务器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20.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多功能病历采集网关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控制及会诊工作站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网络机柜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数字时钟（机柜监控服务器）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卫星设备控制系统软件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25.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三基色辅助光源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26.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天花板及背景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27.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配件及集成安装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卫星通信天线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3.1.1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*Ku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波段≥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米通信天线系统，赋型环焦，旁瓣性能优越，抗腐能力强，稳定性好。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(GHz)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12.25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12.75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；发射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14.50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(dBi)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50.01(@12.5GHz)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；发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50.8(@14.25GHz)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极化方式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线极化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驻波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(VSWR) 1.25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带宽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(-3dB)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°；发射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0.474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接收噪声温度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43K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°仰角）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38K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°仰角）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34K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°仰角）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发射功率容量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1000W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接口型式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发射为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WR-75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平面法兰；接收为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WR-75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凹槽法兰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馈源插损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0.25dB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端口隔离（收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发）≥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85dB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交叉极化隔离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(on axis)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33dB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方位范围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0-360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度（单立柱桁架式座架）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俯仰范围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度（连续）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表面精度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Ku-0.5mm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表面处理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主面白色、座架热喷锌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工作风速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97km/h(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保精度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105km/h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（降精度）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生存风速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200km/h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（天线朝天锁定）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室外功率放大单元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入网要求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具有工业和信息化部无线电发射设备型号核准证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输入频率范围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1450 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输出频率范围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14.00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14.50 GHz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本振频率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13.05 GHz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*P1dB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42dBm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63dB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增益调节范围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20dB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0.1dB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步进）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最大输入功率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+10 dBm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增益平坦度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3.0 dB 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p max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（带宽范围内）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温度影响的增益化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1.5dBmax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输入阻抗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输入驻波比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1.5:1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输出驻波比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1.5:1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噪声功率密度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-75dBm/Hz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（整个发射带宽内）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-135dBm/Hz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（接收）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15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三阶交调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-25dBc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+40 dBm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噪声相位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-53 dBc/Hz  10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-63 dBc/Hz  100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-73 dBc/Hz  1000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-83 dBc/Hz  10 kHz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-95 dBc/Hz  100 kHz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外参考频率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10 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外参考频率相位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-115 dBc/Hz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-135 dBc/Hz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-148 dBc/Hz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-155 dBc/Hz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 kHz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-160 dBc/Hz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 kHz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输入电压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电源要交流一体化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AC 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265 VAC (47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63Hz)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型头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输出接口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WR-75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M&amp;C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RS232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RS485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杂散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-50 dBc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低噪声放大器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3.3.1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功耗小、锁相环本振、高增益，由耐恶劣环境的材料制造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3.3.2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12.25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12.75 GHz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本振频率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11.3 GHz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输出频率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1450 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频率稳定度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 KHz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增益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WR-75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型阴头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软波导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3.4.1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频率范围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15GHz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功率容量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1.2KW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长度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衰减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0.65dB/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驻波比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法兰接口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WR75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，采用镀镉法兰防护处理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配件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防水垫圈、不锈钢螺丝等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射频电缆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3.5.1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电缆规格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RG11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欧姆编织型同轴电缆，用于系统射频信号传输，双排线整体化设计，内导体为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1.63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0.02mm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无氧纯铜线，外绝缘为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7.12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0.20mm PE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物理发泡，护套为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10.34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0.30mm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聚氯乙烯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屏蔽衰减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90@1000MHz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衰减常数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15.32dB/100m@1000MHz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性能要求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屏蔽和传输性能好，耐腐蚀、耐老化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供电电缆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3.6.1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供电电缆规格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3*1.5 mm2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室外型电源线缆，用于功放供电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供电电缆性能要求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屏蔽和传输性能好，耐腐蚀、耐老化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控制电缆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3.7.1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控制电缆规格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4*0.5mm2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室外型控制线缆，聚氯乙烯护套，用于功放监控的信号传输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控制电缆性能要求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屏蔽和传输性能好，耐腐蚀、耐老化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分路器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3.8.1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频段范围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2150MHz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连接器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型阴头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插入损耗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6.6dB(L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波段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端口特性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可通过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10MHz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，反向隔直，端口隔离≥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合路器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3.9.1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频段范围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2150MHz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连接器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型阴头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插入损耗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6.6dB(L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波段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端口特性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可通过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10MHz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，反向隔直，端口隔离≥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SCPC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3.10.1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 w:rsidP="008503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远程医学信息网网管远程监控功能，远程可对调制解调器参数进行设置与监控。能够与现有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入网医院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SCPC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调制解调器设备兼容互通。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3.10.2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操作模式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收发连续（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SCPC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可选择发射突发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发射频率调节范围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950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1750 MHz, 1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步进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接收频率调节范围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950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1900 MHz, 1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步进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数据速率精度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精确到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2 x 10 -12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相关的参考时钟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可用的调制方式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BPSK, QPSK, 8PSK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8QAM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*FEC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选项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Viterbi - 1/2, 3/4, 5/6, 7/8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发射电平范围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+5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35 dBm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0.1 dB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步进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扰码类型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IBS, V.35, IESS, TPC, RS, LDPC, EFD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数据时钟源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Internal, Terminal Timing, External, Rx Recovered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内部稳定度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 x 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 OCXO 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数据接口类型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RS232,V.35, Ethernet IP 10/100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Base-T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*Ethernet IP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工作模式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路由、桥接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*Ethernet IP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包过滤规则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Iptables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Ebtables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远程控制方式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RS232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、网络控制和监控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TDMA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 w:rsidP="008503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远程医学信息网网管远程监控功能，远程可对调制解调器参数进行设置与监控。能够与现有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入网医院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TDMA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调制解调器设备兼容互通。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3.11.2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回传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上行信道格式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MF-TDMA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回传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上行信道中频发射频率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1450MHz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回传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上行信道编码方式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Turbo Coding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，兼容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DVB-RCS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回传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上行信道调制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QPSK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回传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上行信道符号速率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2.5Msps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下行信道格式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DVB-S2 ACM,MPE/MPEG-2,DVB-S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下行信道符号速率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DVB-S 1.11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36Msps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DVB-S2 1.1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36Msps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下行信道信息速率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DVB-S 1.1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58Mbps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DVB-S2 1.1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126Mbps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下行信道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FEC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和调制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DVB-S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R/S(204,188)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卷集码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下行信道误码率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DVB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EN 30D421[DVB-S]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EN 302307[DVB-S2],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为接近无差错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下行信道中频接收频率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1750MHz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波段收发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型接口，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欧姆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10/100 BaseT Ethernet[RJ-45]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TCP/IP,UDP/IP,IGMP,RIP 1&amp;2,IP QoS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RS-232(DB-9)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尺寸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高，可机柜安装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240VAC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数据通道交换机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3.12.1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三层交换机，具有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个百兆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RJ45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个千兆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Combo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个千兆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SFP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交流供电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3.12.2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遵循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IEEE 802.1d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Guest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Voice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Super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、支持基于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子网的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可靠性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RRPP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环型拓扑、支持相交环和多实例等功能，故障保护切换时间低于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50ms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BPDU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保护、根保护和环回保护、支持智能以太保护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SEP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Smart Ethernet Protection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路由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静态路由、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RIP v1/v2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ECMP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的组播组、支持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IGMP v1/v2/v3 Snooping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和快速离开机制、支持组播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组播复制、支持捆绑端口的组播负载分担、基于可控组播、基于端口的组播流量统计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QoS/ACL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支持对端口接收和发送报文的速率进行限制、支持报文重定向、支持基于端口的流量监管、支持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Layer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~L4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Layer 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）包过滤功能，提供基于源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地址、目的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地址、目的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地址、端口、协议、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的非法帧过滤功能、支持基于队列限速和端口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Shaping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安全特性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用户分级管理和口令保护、支持防止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DOS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ARP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防攻击、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ICMP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防攻击功能、支持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、端口、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的组合绑定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支持端口隔离、端口安全、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Sticky 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、支持黑洞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地址学习数目限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制、支持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IEEE 802.1x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认证，支持单端口最大用户数限制、支持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AAA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认证，支持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Radius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等多种方式、支持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SSH V2.0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CPU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保护功能、支持黑名单和白名单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SNMPv1/v2/v3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WEB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管理特性、支持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SSH V2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视频通道交换机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3.13.1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三层交换机，具有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个百兆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RJ45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个千兆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Combo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个千兆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SFP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交流供电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3.13.2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遵循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IEEE 802.1d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Guest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Voice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Super 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、支持基于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子网的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可靠性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RRPP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环型拓扑、支持相交环和多实例等功能，故障保护切换时间低于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50ms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BPDU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保护、根保护和环回保护、支持智能以太保护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SEP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Smart Ethernet Protection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路由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静态路由、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RIP v1/v2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ECMP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的组播组、支持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IGMP v1/v2/v3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Snooping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和快速离开机制、支持组播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组播复制、支持捆绑端口的组播负载分担、基于可控组播、基于端口的组播流量统计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QoS/ACL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支持对端口接收和发送报文的速率进行限制、支持报文重定向、支持基于端口的流量监管、支持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Layer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~L4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Layer 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）包过滤功能，提供基于源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地址、目的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地址、目的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地址、端口、协议、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的非法帧过滤功能、支持基于队列限速和端口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Shaping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安全特性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用户分级管理和口令保护、支持防止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DOS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ARP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防攻击、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ICMP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防攻击功能、支持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、端口、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VLAN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的组合绑定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支持端口隔离、端口安全、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Sticky 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、支持黑洞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MAC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地址学习数目限制、支持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IEEE 802.1x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认证，支持单端口最大用户数限制、支持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AAA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认证，支持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Radius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等多种方式、支持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SSH V2.0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CPU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保护功能、支持黑名单和白名单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SNMPv1/v2/v3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WEB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管理特性、支持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SSH V2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高清视频会议终端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3.14.1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 w:rsidP="0085038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支持网管远程监控功能，支持卫星通信接入协议，能够与现有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远程医学信息网视频终端设备兼容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3.14.2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采用嵌入式系统设计、支持标准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H.323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协议、卫星组播协议，自带矩阵功能，支持多路输入和多路输出。具备可靠的网络丢包恢复机制，和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MCU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配合时在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网络达到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％丢包时视音频质量良好。具有基本的系统检测诊断功能，包括呼叫状态显示、网络测试、本端音视频自环测试、远端升级维护等功能。产品稳定，可支持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小时长时间运行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会议速率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128K-8Mbps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视频编解码协议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H.263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H.264bp/hp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音频编解码协议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G.711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G.722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G.722.1.C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，实现双声道立体声的效果，并提供自适应双工回声抵消和噪声抑制功能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单流特性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1080P 60fps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分辨率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双流特性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支持动态双流和静态双流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动态双流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1080P@30fps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720P@30fps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静态双流（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VGA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支持以下分辨率：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SVGA@60/75Hz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XGA@60/75Hz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WXGA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800@60Hz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WSXGA(1440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900)@60Hz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SXGA@60Hz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视频输入接口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DVI-I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（可转换为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YPbPr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VGA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HD-SDI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视频输出接口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DVI-I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（可转换为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YPbPr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VGA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HD-SDI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音频输入接口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个卡侬，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个数字麦接口（支持双声道立体声），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RCA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音频输出接口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个大三芯，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RCA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10/100/1000M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以太网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TCP/IP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Telnet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HTTP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FTP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RS485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RS232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，红外遥控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AC 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240V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60W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尺寸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机柜式安装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高清摄像机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3.15.1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会议专用高清晰彩色摄像机，一体化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PTZ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控制，能与视频终端兼容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3.15.2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有效像素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万像素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1/2.8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CMOS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成像芯片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变焦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倍光学变焦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视频输出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不低于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1080i,720P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输出接口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3G-SDI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水平视角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(wide)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摇移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度（最快速度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秒）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俯仰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度（最快速度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秒）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最低照度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1.8Lx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50IRE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F1.8)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快门速度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1/1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1/10000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信噪比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50dB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聚焦系统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自动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手动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预设位数量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个预设位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通信控制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RS-232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VISCA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遥控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红外遥控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界面麦克风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3.16.1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视频会议专用麦克风，具备防止射频干扰能力，避免收音时受到如手提电话等干扰；内置话筒前置放大器供电组件，无需使用外置供电模组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3.16.2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元件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固定充电背板，静电型电容式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指向性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半球形心形单指向性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频率响应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20,000 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开路灵敏度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-34 dB (19.9 mV)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阻抗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200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欧姆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最大输入声压级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133 dB, 1 kHz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1% T.H.D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动态范围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103 dB, 1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kHz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于最高声压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典型值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信噪比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67 dB, 1 kHz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1Pa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收音角度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针卡侬公头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电话会议终端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3.17.1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可以通过电话线路接入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3.17.2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显示屏幕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高分辨率、背景光、图形化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LCD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键盘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键电话键盘，具有静音、音量调节功能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主机扬声器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频率响应：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3300 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，音量可调至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94dBA SPL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主机麦克风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个心型麦克风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300HZ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3500HZ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麦克风拾音范围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3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米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音频特性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带智能麦克风混音和动态噪音抑制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主机接口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RJ-11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220V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50/60HZ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液晶监视器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3.18.1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市场主流机型，支持高清显示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3.18.2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屏幕尺寸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清晰度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1080p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分辨率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1920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1080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背光灯类型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LED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发光二极管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屏幕比例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宽屏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16:9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输入输出接口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AV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HDMI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RF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3.19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串口服务器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3.19.1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体积小巧，便于机柜后侧安装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3.19.2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支持协议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ARP,UDP,TCP,Telnet,ICMP,TFTP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10/100BaseT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串行口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个串行口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,DB9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针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串行波特率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300bps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115.2kbps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字长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位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停止位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位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奇偶校验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流量控制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XON/XOFF,CTS/RTS,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无流控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Modem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DTR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LED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串口数据收发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以太网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LINK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状态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以太网口数据收发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HTTP,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串行口登陆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,Telnet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登陆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～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12V,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500mA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多功能病历采集网关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3.20.1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由病历采集工作站、医用专业影像扫描仪、平板扫描仪、医用影像显示屏组成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3.20.2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病历采集工作站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CPU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英特尔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®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酷睿™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i5-3470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处理器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(6M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缓存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以上或相当性能产品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内存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4GB DDR3 1600MHz SDRAM Memory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硬盘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1TB 7200 RPM 3.5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SATA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硬盘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16X DVD+/-RW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核芯显卡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鼠标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USB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光电鼠标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键盘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标准键盘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简体中文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操作系统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Windows® 7 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简体中文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或更高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显示器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英寸宽屏显示器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 VGA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DVI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医用专业影像扫描仪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功能特性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LED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光源（支持即开机即扫描，无需等待）；自动纠偏，去边，直接截取图像，无需预览；金属机身，高温低温不变形不开裂，支持低温、高海拔作业；开放式扫描组件，易于清洗维护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扫描幅面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可支持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14"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35"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CCD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探测器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光学分辨率不低于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600dpi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输出格式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支持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DICOM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等多种图形格式输出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灰阶深度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8/12-bit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灰阶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USB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或以上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扫描速度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秒（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14" x 17"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胶片）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动态光学密度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最大不低于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4.0D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进片方式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直进直出（馈纸式）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平板扫描仪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最大幅面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A4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光学分辨率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最大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2400x4800dpi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扫描范围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A4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幅面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扫描介质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文件、图片、照片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预扫时间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接口类型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USB2.0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或以上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扫描光源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RGB LED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扫描模式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彩色、灰阶、黑白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医用影像显示屏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显示尺寸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21"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分辨率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1600*1200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，支持横竖屏转换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对比度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1800:1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视角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178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响应时间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16ms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显示屏灰阶数据处理：≥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14bit(16384)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医疗影像标准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符合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DICOM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灯箱功能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具备显示器灯箱功能，方便用于胶片阅读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输入信号接口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DVI-D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控制及会诊工作站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3.21.1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CPU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英特尔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®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酷睿™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i5-3470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处理器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(6M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缓存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以上或相当性能产品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内存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4GB DDR3 1600MHz SDRAM Memory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硬盘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1TB 7200 RPM 3.5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SATA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硬盘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16X DVD+/-RW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核芯显卡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鼠标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USB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光电鼠标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键盘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标准键盘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简体中文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操作系统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Windows® 7 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简体中文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或以上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显示器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英寸宽屏显示器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 VGA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DVI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接口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3.22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网络机柜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3.22.1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外形美观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全框架结构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方便实用，符合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配可调节支撑地脚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只行走脚轮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具有带锁普通玻璃前门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易拆装散热型侧后门。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3.22.2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宽度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600MM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深度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600MM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高度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1200MM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机柜前面盲板（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机柜前面盲板（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机柜平托板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机柜托架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付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形横托架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机柜后安装板（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料）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电源插板盒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付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理线架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付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RCST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固定耳朵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付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定制固定耳朵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付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标准盲板钉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76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外六方带母螺丝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带垫带母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M4*10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螺丝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150mm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塑料扎带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40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数字时钟（机柜监控服务器）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3.23.1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带有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1.8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英寸的数码实时时钟，设备断电后时间继续运行，能自动通过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SNTP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协议向时间服务器取时校正以保证精度；可以实时监控机柜内的温度和交流电压值并通过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英寸的数码管本地显示，有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个以太网口传输监控数据，可输出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220V,15A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的电流以提供其他设备用电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3.23.2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协议：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ARP,UDP,TCP,Telnet,ICMP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网络口：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10/100Base-T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串行口：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RS-232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字长：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停止位：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奇偶校验：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串行波特率：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300bps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115.2kbps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流量控制：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XON/XOFF,CTS/RTS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Modem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控制：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RTS,CTS,DSR,DCD,DTR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LED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指示：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串口收发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以太网连接状态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模拟量输入口：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路输入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(0-5V),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内置温度和湿度传感器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3.24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卫星设备控制系统软件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3.24.1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配备本地化卫星设备控制系统软件系统，中文操控界面；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3.24.2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能够本地化查看串口服务器的参数设置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能够本地化查看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SCPC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调制解调器的参数设置，能够对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SCPC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调制解调器的调制解调等环回测试，能够一键恢复标准设置和出厂设置；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能够本地化查看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TDMA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调制解调器的参数设置；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能够本地化查看和修改功放设备的参数设置。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三基色辅助光源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3.25.1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套无影三基色格栅灯和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套无频闪影像照明灯组成，无频闪现象，能够满足视频会议场景需要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3.25.2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无影三基色格栅灯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安装要求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吸顶安装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频闪要求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无频闪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外形尺寸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600MM*600MM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4*18W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，暖光色调，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4000K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格栅设计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小格栅斜角设计，折射角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135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度，厚度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0.8mm,21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X33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乳白色亚光喷涂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灯盘材质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底壳冷轧板厚度≥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0.4mm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，静电喷塑处理，乳白色亚光喷涂，防老化保护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灯芯设计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纯铝制折射反光器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电线规格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0.75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平方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纯铜独股国标线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无频闪影像照明灯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安装要求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吸顶安装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频闪要求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无频闪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外形尺寸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600MM*600MM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功率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4*18W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，冷光色调，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6500K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灯盘材质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底壳冷轧板厚度≥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0.4mm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，静电喷塑处理，乳白色亚光喷涂，防老化保护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灯芯设计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纯铝制折射反光器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电线规格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0.75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平方纯铜独股国标线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天花板及背景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3.26.1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吊顶面积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会诊室顶棚吊顶，面积≤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平方米，含供货与现场安装施工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吊顶安装要求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标准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600mm*600mm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石绵型吸音天花板，安装固定龙骨，吊装天花板，安装三基色辅助光源灯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背景安装要求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按统一要求制作远程会诊室喷绘背景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配件及集成安装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3.27.1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基本要求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包含但不限于站点安装所需的防水、绝缘、接地线、各种接头、各种固定件等配件和辅料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3.27.2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设备要求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入网测试要求：所有设备需要进行系统集成，系统安装时进行远程医学系统入网验证，满足远程医学使用要求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包装运输要求：中标单位负责设备包装、免费运输至指定地点，包括边境地区和境外，自行承担运保费用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施工安装要求：中标单位须负责卫星天线基础安装施工，应有专业工程技术人员保证项目安装与服务，自行承担所有费用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*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质量保证要求：所有设备保修期两年，保修期内免费上门技术服务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售后条款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在北京应设有服务人员，设有常用备品备件库，出现故障在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个小时无法维修正常时，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个小时内提供备用设备到现场。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4.1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保修年限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系统验收通过后，免费质保≥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4.2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预防性维修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定期维护保养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保修期内按维修手册要求提供定期维护保养服务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4.3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维修响应时间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小时内进行响应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维修到达现场时间≤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0.5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个工作日（京内）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维修到达现场时间≤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个工作日（京外）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培训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提供使用培训和工程师培训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交货期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合同签订后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个月内交货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jc w:val="center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付款方式</w:t>
            </w:r>
          </w:p>
        </w:tc>
        <w:tc>
          <w:tcPr>
            <w:tcW w:w="6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签订合同货到后付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，验收合格后付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65%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，验收合格一年后付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D122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12295">
        <w:trPr>
          <w:trHeight w:val="885"/>
          <w:jc w:val="center"/>
        </w:trPr>
        <w:tc>
          <w:tcPr>
            <w:tcW w:w="9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12295" w:rsidRDefault="00010F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备注：</w:t>
            </w:r>
            <w:r>
              <w:rPr>
                <w:rStyle w:val="font91"/>
                <w:rFonts w:eastAsia="宋体"/>
                <w:lang/>
              </w:rPr>
              <w:t>1.</w:t>
            </w:r>
            <w:r>
              <w:rPr>
                <w:rStyle w:val="font01"/>
                <w:rFonts w:hint="default"/>
                <w:lang/>
              </w:rPr>
              <w:t>加注</w:t>
            </w:r>
            <w:r>
              <w:rPr>
                <w:rStyle w:val="font01"/>
                <w:rFonts w:hint="default"/>
                <w:lang/>
              </w:rPr>
              <w:t>“*”</w:t>
            </w:r>
            <w:r>
              <w:rPr>
                <w:rStyle w:val="font01"/>
                <w:rFonts w:hint="default"/>
                <w:lang/>
              </w:rPr>
              <w:t>号的技术指标为关键指标，</w:t>
            </w:r>
            <w:r>
              <w:rPr>
                <w:rStyle w:val="font01"/>
                <w:rFonts w:hint="default"/>
                <w:lang/>
              </w:rPr>
              <w:t>≥1</w:t>
            </w:r>
            <w:r>
              <w:rPr>
                <w:rStyle w:val="font01"/>
                <w:rFonts w:hint="default"/>
                <w:lang/>
              </w:rPr>
              <w:t>项未达到招标文件要求，即做废标处理。</w:t>
            </w:r>
            <w:r>
              <w:rPr>
                <w:rStyle w:val="font01"/>
                <w:rFonts w:hint="default"/>
                <w:lang/>
              </w:rPr>
              <w:br/>
              <w:t xml:space="preserve">      2.</w:t>
            </w:r>
            <w:r>
              <w:rPr>
                <w:rStyle w:val="font01"/>
                <w:rFonts w:hint="default"/>
                <w:lang/>
              </w:rPr>
              <w:t>加注</w:t>
            </w:r>
            <w:r>
              <w:rPr>
                <w:rStyle w:val="font01"/>
                <w:rFonts w:hint="default"/>
                <w:lang/>
              </w:rPr>
              <w:t>“·”</w:t>
            </w:r>
            <w:r>
              <w:rPr>
                <w:rStyle w:val="font01"/>
                <w:rFonts w:hint="default"/>
                <w:lang/>
              </w:rPr>
              <w:t>号的技术指标为重要指标。</w:t>
            </w:r>
            <w:r>
              <w:rPr>
                <w:rStyle w:val="font01"/>
                <w:rFonts w:hint="default"/>
                <w:lang/>
              </w:rPr>
              <w:br/>
            </w:r>
            <w:r>
              <w:rPr>
                <w:rStyle w:val="font01"/>
                <w:rFonts w:hint="default"/>
                <w:lang/>
              </w:rPr>
              <w:t xml:space="preserve">      3.</w:t>
            </w:r>
            <w:r>
              <w:rPr>
                <w:rStyle w:val="font01"/>
                <w:rFonts w:hint="default"/>
                <w:lang/>
              </w:rPr>
              <w:t>加注</w:t>
            </w:r>
            <w:r>
              <w:rPr>
                <w:rStyle w:val="font01"/>
                <w:rFonts w:hint="default"/>
                <w:lang/>
              </w:rPr>
              <w:t>“*”</w:t>
            </w:r>
            <w:r>
              <w:rPr>
                <w:rStyle w:val="font01"/>
                <w:rFonts w:hint="default"/>
                <w:lang/>
              </w:rPr>
              <w:t>、</w:t>
            </w:r>
            <w:r>
              <w:rPr>
                <w:rStyle w:val="font01"/>
                <w:rFonts w:hint="default"/>
                <w:lang/>
              </w:rPr>
              <w:t>“·”</w:t>
            </w:r>
            <w:r>
              <w:rPr>
                <w:rStyle w:val="font01"/>
                <w:rFonts w:hint="default"/>
                <w:lang/>
              </w:rPr>
              <w:t>号的技术指标均需投标企业提供证明材料。</w:t>
            </w:r>
          </w:p>
        </w:tc>
      </w:tr>
    </w:tbl>
    <w:p w:rsidR="00D12295" w:rsidRDefault="00D12295"/>
    <w:sectPr w:rsidR="00D12295" w:rsidSect="00D12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FD1" w:rsidRDefault="00010FD1" w:rsidP="0085038A">
      <w:r>
        <w:separator/>
      </w:r>
    </w:p>
  </w:endnote>
  <w:endnote w:type="continuationSeparator" w:id="1">
    <w:p w:rsidR="00010FD1" w:rsidRDefault="00010FD1" w:rsidP="00850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FD1" w:rsidRDefault="00010FD1" w:rsidP="0085038A">
      <w:r>
        <w:separator/>
      </w:r>
    </w:p>
  </w:footnote>
  <w:footnote w:type="continuationSeparator" w:id="1">
    <w:p w:rsidR="00010FD1" w:rsidRDefault="00010FD1" w:rsidP="008503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12295"/>
    <w:rsid w:val="00010FD1"/>
    <w:rsid w:val="0085038A"/>
    <w:rsid w:val="00D12295"/>
    <w:rsid w:val="0D2E1B62"/>
    <w:rsid w:val="5D676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29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D12295"/>
    <w:rPr>
      <w:rFonts w:ascii="Wingdings 2" w:eastAsia="Wingdings 2" w:hAnsi="Wingdings 2" w:cs="Wingdings 2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sid w:val="00D12295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91">
    <w:name w:val="font91"/>
    <w:basedOn w:val="a0"/>
    <w:rsid w:val="00D12295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850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503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50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03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1730</Words>
  <Characters>9863</Characters>
  <Application>Microsoft Office Word</Application>
  <DocSecurity>0</DocSecurity>
  <Lines>82</Lines>
  <Paragraphs>23</Paragraphs>
  <ScaleCrop>false</ScaleCrop>
  <Company>Microsoft</Company>
  <LinksUpToDate>false</LinksUpToDate>
  <CharactersWithSpaces>11570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MS</cp:lastModifiedBy>
  <cp:revision>2</cp:revision>
  <dcterms:created xsi:type="dcterms:W3CDTF">2022-09-09T07:35:00Z</dcterms:created>
  <dcterms:modified xsi:type="dcterms:W3CDTF">2023-02-03T01:24:00Z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